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5FB" w14:textId="2E232976" w:rsidR="00357BF0" w:rsidRDefault="00357BF0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357BF0">
        <w:rPr>
          <w:rFonts w:eastAsia="Tahoma"/>
          <w:b/>
          <w:bCs/>
          <w:sz w:val="30"/>
          <w:szCs w:val="30"/>
          <w:lang w:eastAsia="ar-SA"/>
        </w:rPr>
        <w:t>О развитии системы ЖКХ Брестской области.</w:t>
      </w:r>
    </w:p>
    <w:p w14:paraId="27D879CC" w14:textId="3F0B3B92" w:rsidR="00357BF0" w:rsidRPr="00357BF0" w:rsidRDefault="00357BF0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357BF0">
        <w:rPr>
          <w:rFonts w:eastAsia="Tahoma"/>
          <w:b/>
          <w:bCs/>
          <w:sz w:val="30"/>
          <w:szCs w:val="30"/>
          <w:lang w:eastAsia="ar-SA"/>
        </w:rPr>
        <w:t>Задачи на 2025 год</w:t>
      </w:r>
    </w:p>
    <w:p w14:paraId="00EF2851" w14:textId="77777777" w:rsidR="00357BF0" w:rsidRDefault="00357BF0" w:rsidP="00357BF0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14:paraId="36C5429A" w14:textId="220A51C1" w:rsidR="00357BF0" w:rsidRDefault="00357BF0" w:rsidP="00357BF0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033DF7">
        <w:rPr>
          <w:rFonts w:eastAsia="Times New Roman"/>
          <w:sz w:val="30"/>
          <w:szCs w:val="30"/>
        </w:rPr>
        <w:t>Система жилищно-коммунального хозяйства (далее – ЖКХ) является важнейшей многоотраслевой социально-экономической сферой деятельности, где главными направлениями работы организаций ЖКХ являются обеспечение своевременного и качественного предоставления потребителям услуг в востребованных объемах, улучшение качества обслуживания населения.</w:t>
      </w:r>
    </w:p>
    <w:p w14:paraId="4898F053" w14:textId="77777777" w:rsidR="00357BF0" w:rsidRPr="005B7102" w:rsidRDefault="00357BF0" w:rsidP="00357BF0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ahoma"/>
          <w:sz w:val="30"/>
          <w:szCs w:val="30"/>
          <w:lang w:eastAsia="ar-SA"/>
        </w:rPr>
        <w:t xml:space="preserve">Отрасль ЖКХ </w:t>
      </w:r>
      <w:r w:rsidRPr="00220DAC">
        <w:rPr>
          <w:rFonts w:eastAsia="Tahoma"/>
          <w:sz w:val="30"/>
          <w:szCs w:val="30"/>
          <w:lang w:eastAsia="ar-SA"/>
        </w:rPr>
        <w:t xml:space="preserve">области ведет целенаправленную работу по выполнению показателей Государственной программы «Комфортное жилье и благоприятная среда» на 2021-2025 годы» </w:t>
      </w:r>
      <w:r w:rsidRPr="00220DAC">
        <w:rPr>
          <w:rFonts w:eastAsia="Times New Roman"/>
          <w:sz w:val="30"/>
          <w:szCs w:val="30"/>
        </w:rPr>
        <w:t>(далее – Государственная программа)</w:t>
      </w:r>
      <w:r w:rsidRPr="00220DAC">
        <w:rPr>
          <w:rFonts w:eastAsia="Tahoma"/>
          <w:sz w:val="30"/>
          <w:szCs w:val="30"/>
          <w:lang w:eastAsia="ar-SA"/>
        </w:rPr>
        <w:t>, Директивы Президента Республики Беларусь от 4 марта</w:t>
      </w:r>
      <w:r>
        <w:rPr>
          <w:rFonts w:eastAsia="Tahoma"/>
          <w:sz w:val="30"/>
          <w:szCs w:val="30"/>
          <w:lang w:eastAsia="ar-SA"/>
        </w:rPr>
        <w:t xml:space="preserve"> </w:t>
      </w:r>
      <w:r w:rsidRPr="00220DAC">
        <w:rPr>
          <w:rFonts w:eastAsia="Tahoma"/>
          <w:sz w:val="30"/>
          <w:szCs w:val="30"/>
          <w:lang w:eastAsia="ar-SA"/>
        </w:rPr>
        <w:t>2019 г. № 7 «О совершенствовании и развитии жилищно-коммунального хозяйства страны»</w:t>
      </w:r>
      <w:r>
        <w:rPr>
          <w:rFonts w:eastAsia="Tahoma"/>
          <w:sz w:val="30"/>
          <w:szCs w:val="30"/>
          <w:lang w:eastAsia="ar-SA"/>
        </w:rPr>
        <w:t xml:space="preserve"> (далее – Директива № </w:t>
      </w:r>
      <w:r w:rsidRPr="00DE58C9">
        <w:rPr>
          <w:rFonts w:eastAsia="Tahoma"/>
          <w:sz w:val="30"/>
          <w:szCs w:val="30"/>
          <w:lang w:eastAsia="ar-SA"/>
        </w:rPr>
        <w:t>7</w:t>
      </w:r>
      <w:r w:rsidRPr="006B74AD">
        <w:rPr>
          <w:rFonts w:eastAsia="Tahoma"/>
          <w:sz w:val="30"/>
          <w:szCs w:val="30"/>
          <w:lang w:eastAsia="ar-SA"/>
        </w:rPr>
        <w:t>)</w:t>
      </w:r>
      <w:r w:rsidRPr="00220DAC">
        <w:rPr>
          <w:rFonts w:eastAsia="Tahoma"/>
          <w:sz w:val="30"/>
          <w:szCs w:val="30"/>
          <w:lang w:eastAsia="ar-SA"/>
        </w:rPr>
        <w:t>, и иных доведенных заданий облисполкомом и Министерством жилищно-коммунального хозяйства Республики Беларусь.</w:t>
      </w:r>
    </w:p>
    <w:p w14:paraId="2E488CF3" w14:textId="77777777" w:rsidR="00357BF0" w:rsidRPr="00220DAC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220DAC">
        <w:rPr>
          <w:rFonts w:eastAsia="Times New Roman"/>
          <w:sz w:val="30"/>
          <w:szCs w:val="30"/>
        </w:rPr>
        <w:t>Основная цель Государственной программы – обеспечение комфортных условий проживания и благоприятной среды обитания, в первую очередь за счет повышения эффективности и надежности функционирования объектов ЖКХ с одновременным снижением затрат на оказание жилищно-коммунальных услуг (далее – ЖКУ).</w:t>
      </w:r>
    </w:p>
    <w:p w14:paraId="3054163A" w14:textId="77777777" w:rsidR="00357BF0" w:rsidRPr="00DF411E" w:rsidRDefault="00357BF0" w:rsidP="00357BF0">
      <w:pPr>
        <w:ind w:firstLine="709"/>
        <w:jc w:val="both"/>
        <w:rPr>
          <w:rFonts w:eastAsia="Times New Roman"/>
          <w:bCs/>
          <w:sz w:val="30"/>
          <w:szCs w:val="30"/>
        </w:rPr>
      </w:pPr>
      <w:r w:rsidRPr="00220DAC">
        <w:rPr>
          <w:rFonts w:eastAsia="Times New Roman"/>
          <w:sz w:val="30"/>
          <w:szCs w:val="30"/>
        </w:rPr>
        <w:t xml:space="preserve">Для оценки эффективности реализации Государственной программы определены сводные целевые показатели – </w:t>
      </w:r>
      <w:r w:rsidRPr="00DF411E">
        <w:rPr>
          <w:rFonts w:eastAsia="Times New Roman"/>
          <w:bCs/>
          <w:sz w:val="30"/>
          <w:szCs w:val="30"/>
        </w:rPr>
        <w:t xml:space="preserve">снижение затрат на оказание ЖКУ населению в сопоставимых условиях (за 2024 г. составил 5,9 % при задании не менее 5%) и обеспеченность потребителей водоснабжением питьевого качества (за 2024 год – факт </w:t>
      </w:r>
      <w:r w:rsidRPr="00DF411E">
        <w:rPr>
          <w:rFonts w:eastAsia="DejaVu LGC Sans"/>
          <w:bCs/>
          <w:kern w:val="1"/>
          <w:sz w:val="30"/>
          <w:szCs w:val="30"/>
          <w:lang w:eastAsia="en-US"/>
        </w:rPr>
        <w:t>99,1 %</w:t>
      </w:r>
      <w:r w:rsidRPr="00DF411E">
        <w:rPr>
          <w:rFonts w:eastAsia="Times New Roman"/>
          <w:bCs/>
          <w:sz w:val="30"/>
          <w:szCs w:val="30"/>
        </w:rPr>
        <w:t xml:space="preserve"> или 100 % от плана), а также целевые показатели подпрограмм.</w:t>
      </w:r>
    </w:p>
    <w:p w14:paraId="24E581A5" w14:textId="77777777" w:rsidR="00357BF0" w:rsidRPr="00220DAC" w:rsidRDefault="00357BF0" w:rsidP="00357BF0">
      <w:pPr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1 «Доступность услуг».</w:t>
      </w:r>
    </w:p>
    <w:p w14:paraId="13AB50DD" w14:textId="77777777" w:rsidR="00357BF0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220DAC">
        <w:rPr>
          <w:rFonts w:eastAsia="Times New Roman"/>
          <w:sz w:val="30"/>
          <w:szCs w:val="30"/>
        </w:rPr>
        <w:t xml:space="preserve">Для улучшения качества обслуживания населения в Брестской области функционирует единый областной Контакт-центр с коротким номером 115 с использованием программного обеспечения коммунального унитарного предприятия «Центр информационных технологий Мингорисполкома». </w:t>
      </w:r>
    </w:p>
    <w:p w14:paraId="2E49F16C" w14:textId="77777777" w:rsidR="00357BF0" w:rsidRPr="00DF411E" w:rsidRDefault="00357BF0" w:rsidP="00357BF0">
      <w:pPr>
        <w:tabs>
          <w:tab w:val="left" w:pos="141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2024 году диспетчерами принято около 290 тысяч звонков, Количество претензий составило 84 тысячи. </w:t>
      </w:r>
    </w:p>
    <w:p w14:paraId="65BF8C7B" w14:textId="77777777" w:rsidR="00357BF0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</w:t>
      </w:r>
      <w:r w:rsidRPr="00DF411E">
        <w:rPr>
          <w:rFonts w:eastAsia="Times New Roman"/>
          <w:sz w:val="30"/>
          <w:szCs w:val="30"/>
        </w:rPr>
        <w:t xml:space="preserve"> целом по области показатель по снижению претензий на 1000 лицевых счетов выполнен и составил 2,9 %, при задании в 1,5 %.</w:t>
      </w:r>
    </w:p>
    <w:p w14:paraId="007D3922" w14:textId="77777777" w:rsidR="00357BF0" w:rsidRPr="00220DAC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F84C76">
        <w:rPr>
          <w:rFonts w:eastAsia="Times New Roman"/>
          <w:sz w:val="30"/>
          <w:szCs w:val="30"/>
        </w:rPr>
        <w:t xml:space="preserve">На 2025 год также постановлено задача </w:t>
      </w:r>
      <w:r>
        <w:rPr>
          <w:rFonts w:eastAsia="Times New Roman"/>
          <w:sz w:val="30"/>
          <w:szCs w:val="30"/>
        </w:rPr>
        <w:t xml:space="preserve">снизить </w:t>
      </w:r>
      <w:r w:rsidRPr="00F84C76">
        <w:rPr>
          <w:rFonts w:eastAsia="Times New Roman"/>
          <w:sz w:val="30"/>
          <w:szCs w:val="30"/>
        </w:rPr>
        <w:t>претензи</w:t>
      </w:r>
      <w:r>
        <w:rPr>
          <w:rFonts w:eastAsia="Times New Roman"/>
          <w:sz w:val="30"/>
          <w:szCs w:val="30"/>
        </w:rPr>
        <w:t>и</w:t>
      </w:r>
      <w:r w:rsidRPr="00F84C76">
        <w:rPr>
          <w:rFonts w:eastAsia="Times New Roman"/>
          <w:sz w:val="30"/>
          <w:szCs w:val="30"/>
        </w:rPr>
        <w:t xml:space="preserve"> на 1,5 %.</w:t>
      </w:r>
      <w:r w:rsidRPr="00DF411E">
        <w:rPr>
          <w:rFonts w:eastAsia="Times New Roman"/>
          <w:sz w:val="30"/>
          <w:szCs w:val="30"/>
        </w:rPr>
        <w:t xml:space="preserve">  </w:t>
      </w:r>
    </w:p>
    <w:p w14:paraId="5F0576C9" w14:textId="77777777" w:rsidR="00357BF0" w:rsidRDefault="00357BF0" w:rsidP="00357BF0">
      <w:pPr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2 ««Благоустройство».</w:t>
      </w:r>
    </w:p>
    <w:p w14:paraId="6FAAE804" w14:textId="77777777" w:rsidR="00357BF0" w:rsidRPr="00DF411E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</w:t>
      </w:r>
      <w:r w:rsidRPr="00DF411E">
        <w:rPr>
          <w:rFonts w:eastAsia="Times New Roman"/>
          <w:sz w:val="30"/>
          <w:szCs w:val="30"/>
        </w:rPr>
        <w:t xml:space="preserve"> 2024 году предприятиями ЖКХ Брестской области в рамках реализации Регионального плана по ремонту и (или) реконструкции </w:t>
      </w:r>
      <w:r w:rsidRPr="00DF411E">
        <w:rPr>
          <w:rFonts w:eastAsia="Times New Roman"/>
          <w:sz w:val="30"/>
          <w:szCs w:val="30"/>
        </w:rPr>
        <w:lastRenderedPageBreak/>
        <w:t xml:space="preserve">придомовых территорий многоквартирных жилых домов выполнены работы по ремонту (благоустройству) 106 дворовых территорий (100 % от годового плана). </w:t>
      </w:r>
    </w:p>
    <w:p w14:paraId="0A93D572" w14:textId="77777777" w:rsidR="00357BF0" w:rsidRPr="00DF411E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DF411E">
        <w:rPr>
          <w:rFonts w:eastAsia="Times New Roman"/>
          <w:sz w:val="30"/>
          <w:szCs w:val="30"/>
        </w:rPr>
        <w:t>В течение 2024 года на дворовых территориях выполнялись работы по сплошному асфальтированию, ямочному ремонту, ремонту пешеходных дорожек, ремонту (покраске) малых архитектурных форм, установке песочниц, скамеек, урн, качелей и прочего детского игрового оборудования, посадке, обрезке, сносу деревьев и прочее.</w:t>
      </w:r>
    </w:p>
    <w:p w14:paraId="647030C8" w14:textId="77777777" w:rsidR="00357BF0" w:rsidRPr="00DF411E" w:rsidRDefault="00357BF0" w:rsidP="00357BF0">
      <w:pPr>
        <w:ind w:firstLine="709"/>
        <w:jc w:val="both"/>
        <w:rPr>
          <w:rFonts w:eastAsia="Times New Roman"/>
          <w:sz w:val="30"/>
          <w:szCs w:val="30"/>
        </w:rPr>
      </w:pPr>
      <w:r w:rsidRPr="00DF411E">
        <w:rPr>
          <w:rFonts w:eastAsia="Times New Roman"/>
          <w:sz w:val="30"/>
          <w:szCs w:val="30"/>
        </w:rPr>
        <w:t xml:space="preserve">На 2025 год запланировано выполнить работы по ремонту и (или) реконструкции на 107 придомовых территориях многоквартирных жилых домов Брестской области. Основной объем работ запланирован на II – IV кварталы текущего года. </w:t>
      </w:r>
    </w:p>
    <w:p w14:paraId="3F0C559A" w14:textId="77777777" w:rsidR="00357BF0" w:rsidRPr="00220DAC" w:rsidRDefault="00357BF0" w:rsidP="00357BF0">
      <w:pPr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3 «Эффективное теплоснабжение».</w:t>
      </w:r>
    </w:p>
    <w:p w14:paraId="573CD2D4" w14:textId="77777777" w:rsidR="00357BF0" w:rsidRDefault="00357BF0" w:rsidP="00357BF0">
      <w:pPr>
        <w:ind w:firstLine="708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П</w:t>
      </w:r>
      <w:r w:rsidRPr="00A267A2">
        <w:rPr>
          <w:sz w:val="30"/>
          <w:szCs w:val="30"/>
        </w:rPr>
        <w:t>о итогам 202</w:t>
      </w:r>
      <w:r>
        <w:rPr>
          <w:sz w:val="30"/>
          <w:szCs w:val="30"/>
        </w:rPr>
        <w:t>4</w:t>
      </w:r>
      <w:r w:rsidRPr="00A267A2">
        <w:rPr>
          <w:sz w:val="30"/>
          <w:szCs w:val="30"/>
        </w:rPr>
        <w:t xml:space="preserve"> года произведена замена </w:t>
      </w:r>
      <w:r>
        <w:rPr>
          <w:sz w:val="30"/>
          <w:szCs w:val="30"/>
        </w:rPr>
        <w:t>46,4</w:t>
      </w:r>
      <w:r w:rsidRPr="00A267A2">
        <w:rPr>
          <w:sz w:val="30"/>
          <w:szCs w:val="30"/>
        </w:rPr>
        <w:t xml:space="preserve"> км изношенных тепловых сетей, что составило 1</w:t>
      </w:r>
      <w:r>
        <w:rPr>
          <w:sz w:val="30"/>
          <w:szCs w:val="30"/>
        </w:rPr>
        <w:t>20</w:t>
      </w:r>
      <w:r w:rsidRPr="00A267A2">
        <w:rPr>
          <w:sz w:val="30"/>
          <w:szCs w:val="30"/>
        </w:rPr>
        <w:t>,</w:t>
      </w:r>
      <w:r>
        <w:rPr>
          <w:sz w:val="30"/>
          <w:szCs w:val="30"/>
        </w:rPr>
        <w:t xml:space="preserve">8 % от планового задания. </w:t>
      </w:r>
      <w:r w:rsidRPr="001A1CAC">
        <w:rPr>
          <w:rFonts w:eastAsia="Times New Roman"/>
          <w:sz w:val="30"/>
          <w:szCs w:val="30"/>
        </w:rPr>
        <w:t>По состоянию на 1 января 2025 г. среднеобластной показатель по доле ПИ-труб в общей протяженности сетей составил 89,5 %.</w:t>
      </w:r>
    </w:p>
    <w:p w14:paraId="5370FFB5" w14:textId="77777777" w:rsidR="00357BF0" w:rsidRPr="00A267A2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A267A2">
        <w:rPr>
          <w:sz w:val="30"/>
          <w:szCs w:val="30"/>
        </w:rPr>
        <w:t xml:space="preserve"> году предстоит выполнить </w:t>
      </w:r>
      <w:r>
        <w:rPr>
          <w:sz w:val="30"/>
          <w:szCs w:val="30"/>
        </w:rPr>
        <w:t>замену 30</w:t>
      </w:r>
      <w:r w:rsidRPr="00A267A2">
        <w:rPr>
          <w:sz w:val="30"/>
          <w:szCs w:val="30"/>
        </w:rPr>
        <w:t xml:space="preserve"> км тепловых сетей. </w:t>
      </w:r>
    </w:p>
    <w:p w14:paraId="310EA3CA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0DAC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повышения надежности, технологической и экономической эффективности теплоснабжения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2024 году модернизированы (реконструированы):</w:t>
      </w:r>
    </w:p>
    <w:p w14:paraId="19AE387A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19 газовых котельных, </w:t>
      </w:r>
      <w:r w:rsidRPr="00C07294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плане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8 (план на 2025 год – 4);</w:t>
      </w:r>
    </w:p>
    <w:p w14:paraId="4BB96DB9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27 котельных на МВТ, при плане 15 (план на 2025 год – 6);</w:t>
      </w:r>
    </w:p>
    <w:p w14:paraId="23B31E09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 котельные с на использование древесных гранул (план на 2025                   год – 7).</w:t>
      </w:r>
    </w:p>
    <w:p w14:paraId="29941238" w14:textId="77777777" w:rsidR="00357BF0" w:rsidRDefault="00357BF0" w:rsidP="00357BF0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ahoma" w:hAnsi="Times New Roman"/>
          <w:sz w:val="30"/>
          <w:szCs w:val="30"/>
          <w:lang w:eastAsia="ar-SA"/>
        </w:rPr>
        <w:t>О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>птимиз</w:t>
      </w:r>
      <w:r>
        <w:rPr>
          <w:rFonts w:ascii="Times New Roman" w:eastAsia="Tahoma" w:hAnsi="Times New Roman"/>
          <w:sz w:val="30"/>
          <w:szCs w:val="30"/>
          <w:lang w:eastAsia="ar-SA"/>
        </w:rPr>
        <w:t>ированы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 xml:space="preserve"> </w:t>
      </w:r>
      <w:r>
        <w:rPr>
          <w:rFonts w:ascii="Times New Roman" w:eastAsia="Tahoma" w:hAnsi="Times New Roman"/>
          <w:sz w:val="30"/>
          <w:szCs w:val="30"/>
          <w:lang w:eastAsia="ar-SA"/>
        </w:rPr>
        <w:t>3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 xml:space="preserve"> схем</w:t>
      </w:r>
      <w:r>
        <w:rPr>
          <w:rFonts w:ascii="Times New Roman" w:eastAsia="Tahoma" w:hAnsi="Times New Roman"/>
          <w:sz w:val="30"/>
          <w:szCs w:val="30"/>
          <w:lang w:eastAsia="ar-SA"/>
        </w:rPr>
        <w:t>ы</w:t>
      </w:r>
      <w:r w:rsidRPr="00220DAC">
        <w:rPr>
          <w:rFonts w:ascii="Times New Roman" w:eastAsia="Tahoma" w:hAnsi="Times New Roman"/>
          <w:sz w:val="30"/>
          <w:szCs w:val="30"/>
          <w:lang w:eastAsia="ar-SA"/>
        </w:rPr>
        <w:t xml:space="preserve"> теплоснабжения населенных пунктов</w:t>
      </w:r>
      <w:r>
        <w:rPr>
          <w:rFonts w:ascii="Times New Roman" w:eastAsia="Tahoma" w:hAnsi="Times New Roman"/>
          <w:sz w:val="30"/>
          <w:szCs w:val="30"/>
          <w:lang w:eastAsia="ar-SA"/>
        </w:rPr>
        <w:t xml:space="preserve">, при плане 1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(план на 2025 год – 2).</w:t>
      </w:r>
    </w:p>
    <w:p w14:paraId="308BA4BE" w14:textId="77777777" w:rsidR="00357BF0" w:rsidRPr="000F69DF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 xml:space="preserve">При задании </w:t>
      </w:r>
      <w:r>
        <w:rPr>
          <w:sz w:val="30"/>
          <w:szCs w:val="30"/>
        </w:rPr>
        <w:t xml:space="preserve">на 2024 год </w:t>
      </w:r>
      <w:r w:rsidRPr="00A267A2">
        <w:rPr>
          <w:sz w:val="30"/>
          <w:szCs w:val="30"/>
        </w:rPr>
        <w:t>не выше 9,</w:t>
      </w:r>
      <w:r>
        <w:rPr>
          <w:sz w:val="30"/>
          <w:szCs w:val="30"/>
        </w:rPr>
        <w:t>2</w:t>
      </w:r>
      <w:r w:rsidRPr="00A267A2">
        <w:rPr>
          <w:sz w:val="30"/>
          <w:szCs w:val="30"/>
        </w:rPr>
        <w:t xml:space="preserve"> % </w:t>
      </w:r>
      <w:r w:rsidRPr="000F69DF">
        <w:rPr>
          <w:sz w:val="30"/>
          <w:szCs w:val="30"/>
        </w:rPr>
        <w:t>фактические потери в тепловых сетях составили 9 % и снижены по сравнению с 2023 годом на 0,1 процентный пункт.</w:t>
      </w:r>
    </w:p>
    <w:p w14:paraId="783BE1EA" w14:textId="77777777" w:rsidR="00357BF0" w:rsidRPr="000F69DF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>Задание на 202</w:t>
      </w:r>
      <w:r>
        <w:rPr>
          <w:sz w:val="30"/>
          <w:szCs w:val="30"/>
        </w:rPr>
        <w:t>5</w:t>
      </w:r>
      <w:r w:rsidRPr="00A267A2">
        <w:rPr>
          <w:sz w:val="30"/>
          <w:szCs w:val="30"/>
        </w:rPr>
        <w:t xml:space="preserve"> год по потерям в тепловых сетях – не выше 9,</w:t>
      </w:r>
      <w:r>
        <w:rPr>
          <w:sz w:val="30"/>
          <w:szCs w:val="30"/>
        </w:rPr>
        <w:t>0</w:t>
      </w:r>
      <w:r w:rsidRPr="00A267A2">
        <w:rPr>
          <w:sz w:val="30"/>
          <w:szCs w:val="30"/>
        </w:rPr>
        <w:t xml:space="preserve"> %. </w:t>
      </w:r>
    </w:p>
    <w:p w14:paraId="2C56C67E" w14:textId="77777777" w:rsidR="00357BF0" w:rsidRPr="00220DAC" w:rsidRDefault="00357BF0" w:rsidP="00357BF0">
      <w:pPr>
        <w:spacing w:line="100" w:lineRule="atLeast"/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 xml:space="preserve">Подпрограмма 4 «Ремонт жилья». </w:t>
      </w:r>
    </w:p>
    <w:p w14:paraId="1809AC9D" w14:textId="77777777" w:rsidR="00357BF0" w:rsidRPr="00DE0500" w:rsidRDefault="00357BF0" w:rsidP="00357BF0">
      <w:pPr>
        <w:ind w:firstLine="708"/>
        <w:jc w:val="both"/>
        <w:rPr>
          <w:sz w:val="30"/>
          <w:szCs w:val="30"/>
          <w:lang w:eastAsia="en-US"/>
        </w:rPr>
      </w:pPr>
      <w:r w:rsidRPr="00220DAC">
        <w:rPr>
          <w:sz w:val="30"/>
          <w:szCs w:val="30"/>
        </w:rPr>
        <w:t xml:space="preserve">Для восстановления технических и потребительских качеств, а также сохранения эксплуатационной надежности жилищного фонда </w:t>
      </w:r>
      <w:r w:rsidRPr="00DE0500">
        <w:rPr>
          <w:sz w:val="30"/>
          <w:szCs w:val="30"/>
          <w:lang w:eastAsia="en-US"/>
        </w:rPr>
        <w:t>в 202</w:t>
      </w:r>
      <w:r w:rsidRPr="00DE0500">
        <w:rPr>
          <w:sz w:val="30"/>
          <w:szCs w:val="30"/>
          <w:lang w:val="be-BY" w:eastAsia="en-US"/>
        </w:rPr>
        <w:t>4</w:t>
      </w:r>
      <w:r w:rsidRPr="00DE0500">
        <w:rPr>
          <w:sz w:val="30"/>
          <w:szCs w:val="30"/>
          <w:lang w:eastAsia="en-US"/>
        </w:rPr>
        <w:t xml:space="preserve"> году в области после </w:t>
      </w:r>
      <w:r w:rsidRPr="00DE0500">
        <w:rPr>
          <w:bCs/>
          <w:sz w:val="30"/>
          <w:szCs w:val="30"/>
          <w:lang w:eastAsia="en-US"/>
        </w:rPr>
        <w:t>капитального ремонта в</w:t>
      </w:r>
      <w:r w:rsidRPr="00DE0500">
        <w:rPr>
          <w:sz w:val="30"/>
          <w:szCs w:val="30"/>
          <w:lang w:eastAsia="en-US"/>
        </w:rPr>
        <w:t xml:space="preserve"> эксплуатацию введено 13</w:t>
      </w:r>
      <w:r w:rsidRPr="00DE0500">
        <w:rPr>
          <w:sz w:val="30"/>
          <w:szCs w:val="30"/>
          <w:lang w:val="be-BY" w:eastAsia="en-US"/>
        </w:rPr>
        <w:t>3</w:t>
      </w:r>
      <w:r w:rsidRPr="00DE0500">
        <w:rPr>
          <w:sz w:val="30"/>
          <w:szCs w:val="30"/>
          <w:lang w:eastAsia="en-US"/>
        </w:rPr>
        <w:t xml:space="preserve"> дом</w:t>
      </w:r>
      <w:r>
        <w:rPr>
          <w:sz w:val="30"/>
          <w:szCs w:val="30"/>
          <w:lang w:eastAsia="en-US"/>
        </w:rPr>
        <w:t>а</w:t>
      </w:r>
      <w:r w:rsidRPr="00DE0500">
        <w:rPr>
          <w:sz w:val="30"/>
          <w:szCs w:val="30"/>
          <w:lang w:eastAsia="en-US"/>
        </w:rPr>
        <w:t xml:space="preserve"> площадью 3</w:t>
      </w:r>
      <w:r w:rsidRPr="00DE0500">
        <w:rPr>
          <w:sz w:val="30"/>
          <w:szCs w:val="30"/>
          <w:lang w:val="be-BY" w:eastAsia="en-US"/>
        </w:rPr>
        <w:t>87</w:t>
      </w:r>
      <w:r w:rsidRPr="00DE0500">
        <w:rPr>
          <w:sz w:val="30"/>
          <w:szCs w:val="30"/>
          <w:lang w:eastAsia="en-US"/>
        </w:rPr>
        <w:t>,</w:t>
      </w:r>
      <w:r w:rsidRPr="00DE0500">
        <w:rPr>
          <w:sz w:val="30"/>
          <w:szCs w:val="30"/>
          <w:lang w:val="be-BY" w:eastAsia="en-US"/>
        </w:rPr>
        <w:t>2</w:t>
      </w:r>
      <w:r w:rsidRPr="00DE0500">
        <w:rPr>
          <w:sz w:val="30"/>
          <w:szCs w:val="30"/>
          <w:lang w:eastAsia="en-US"/>
        </w:rPr>
        <w:t xml:space="preserve"> тыс. м² или 101,1 % от плана</w:t>
      </w:r>
      <w:r>
        <w:rPr>
          <w:sz w:val="30"/>
          <w:szCs w:val="30"/>
          <w:lang w:eastAsia="en-US"/>
        </w:rPr>
        <w:t>.</w:t>
      </w:r>
    </w:p>
    <w:p w14:paraId="462FB889" w14:textId="77777777" w:rsidR="00357BF0" w:rsidRPr="00B1266E" w:rsidRDefault="00357BF0" w:rsidP="00357BF0">
      <w:pPr>
        <w:ind w:firstLine="708"/>
        <w:jc w:val="both"/>
        <w:rPr>
          <w:sz w:val="30"/>
          <w:szCs w:val="30"/>
          <w:lang w:eastAsia="en-US"/>
        </w:rPr>
      </w:pPr>
      <w:r w:rsidRPr="00B1266E">
        <w:rPr>
          <w:sz w:val="30"/>
          <w:szCs w:val="30"/>
          <w:lang w:eastAsia="en-US"/>
        </w:rPr>
        <w:t>В 202</w:t>
      </w:r>
      <w:r>
        <w:rPr>
          <w:sz w:val="30"/>
          <w:szCs w:val="30"/>
          <w:lang w:val="be-BY" w:eastAsia="en-US"/>
        </w:rPr>
        <w:t>5</w:t>
      </w:r>
      <w:r w:rsidRPr="00B1266E">
        <w:rPr>
          <w:sz w:val="30"/>
          <w:szCs w:val="30"/>
          <w:lang w:eastAsia="en-US"/>
        </w:rPr>
        <w:t xml:space="preserve"> году для обеспечения доли капитального ремонта на уровне </w:t>
      </w:r>
      <w:r>
        <w:rPr>
          <w:sz w:val="30"/>
          <w:szCs w:val="30"/>
          <w:lang w:eastAsia="en-US"/>
        </w:rPr>
        <w:t xml:space="preserve">            </w:t>
      </w:r>
      <w:r w:rsidRPr="00B1266E">
        <w:rPr>
          <w:sz w:val="30"/>
          <w:szCs w:val="30"/>
          <w:lang w:eastAsia="en-US"/>
        </w:rPr>
        <w:t xml:space="preserve"> 3 процентов от эксплуатируемого жилищного фонда необходимо обеспечить ввод порядка 1</w:t>
      </w:r>
      <w:r>
        <w:rPr>
          <w:sz w:val="30"/>
          <w:szCs w:val="30"/>
          <w:lang w:val="be-BY" w:eastAsia="en-US"/>
        </w:rPr>
        <w:t>56</w:t>
      </w:r>
      <w:r w:rsidRPr="00B1266E">
        <w:rPr>
          <w:sz w:val="30"/>
          <w:szCs w:val="30"/>
          <w:lang w:eastAsia="en-US"/>
        </w:rPr>
        <w:t xml:space="preserve"> домов площадью </w:t>
      </w:r>
      <w:r>
        <w:rPr>
          <w:sz w:val="30"/>
          <w:szCs w:val="30"/>
          <w:lang w:val="be-BY" w:eastAsia="en-US"/>
        </w:rPr>
        <w:t>398,0</w:t>
      </w:r>
      <w:r w:rsidRPr="00B1266E">
        <w:rPr>
          <w:sz w:val="30"/>
          <w:szCs w:val="30"/>
          <w:lang w:eastAsia="en-US"/>
        </w:rPr>
        <w:t xml:space="preserve"> тыс. м².</w:t>
      </w:r>
    </w:p>
    <w:p w14:paraId="2FC72DC5" w14:textId="77777777" w:rsidR="00357BF0" w:rsidRPr="007F38D4" w:rsidRDefault="00357BF0" w:rsidP="00357BF0">
      <w:pPr>
        <w:ind w:firstLine="708"/>
        <w:jc w:val="both"/>
        <w:rPr>
          <w:bCs/>
          <w:sz w:val="30"/>
          <w:szCs w:val="30"/>
          <w:lang w:eastAsia="en-US"/>
        </w:rPr>
      </w:pPr>
      <w:r w:rsidRPr="00B1266E">
        <w:rPr>
          <w:sz w:val="30"/>
          <w:szCs w:val="30"/>
          <w:lang w:eastAsia="en-US"/>
        </w:rPr>
        <w:t>В 202</w:t>
      </w:r>
      <w:r>
        <w:rPr>
          <w:sz w:val="30"/>
          <w:szCs w:val="30"/>
          <w:lang w:val="be-BY" w:eastAsia="en-US"/>
        </w:rPr>
        <w:t>4</w:t>
      </w:r>
      <w:r w:rsidRPr="00B1266E">
        <w:rPr>
          <w:sz w:val="30"/>
          <w:szCs w:val="30"/>
          <w:lang w:eastAsia="en-US"/>
        </w:rPr>
        <w:t xml:space="preserve"> году произведена </w:t>
      </w:r>
      <w:r w:rsidRPr="007F38D4">
        <w:rPr>
          <w:bCs/>
          <w:sz w:val="30"/>
          <w:szCs w:val="30"/>
          <w:lang w:eastAsia="en-US"/>
        </w:rPr>
        <w:t xml:space="preserve">замена </w:t>
      </w:r>
      <w:r w:rsidRPr="007F38D4">
        <w:rPr>
          <w:bCs/>
          <w:sz w:val="30"/>
          <w:szCs w:val="30"/>
          <w:lang w:val="be-BY" w:eastAsia="en-US"/>
        </w:rPr>
        <w:t>90</w:t>
      </w:r>
      <w:r w:rsidRPr="007F38D4">
        <w:rPr>
          <w:bCs/>
          <w:sz w:val="30"/>
          <w:szCs w:val="30"/>
          <w:lang w:eastAsia="en-US"/>
        </w:rPr>
        <w:t xml:space="preserve"> лифтов или 1</w:t>
      </w:r>
      <w:r w:rsidRPr="007F38D4">
        <w:rPr>
          <w:bCs/>
          <w:sz w:val="30"/>
          <w:szCs w:val="30"/>
          <w:lang w:val="be-BY" w:eastAsia="en-US"/>
        </w:rPr>
        <w:t>18</w:t>
      </w:r>
      <w:r w:rsidRPr="007F38D4">
        <w:rPr>
          <w:bCs/>
          <w:sz w:val="30"/>
          <w:szCs w:val="30"/>
          <w:lang w:eastAsia="en-US"/>
        </w:rPr>
        <w:t>,</w:t>
      </w:r>
      <w:r w:rsidRPr="007F38D4">
        <w:rPr>
          <w:bCs/>
          <w:sz w:val="30"/>
          <w:szCs w:val="30"/>
          <w:lang w:val="be-BY" w:eastAsia="en-US"/>
        </w:rPr>
        <w:t>4</w:t>
      </w:r>
      <w:r w:rsidRPr="007F38D4">
        <w:rPr>
          <w:bCs/>
          <w:sz w:val="30"/>
          <w:szCs w:val="30"/>
          <w:lang w:eastAsia="en-US"/>
        </w:rPr>
        <w:t xml:space="preserve"> % от установленного задания Государственной программой. В 202</w:t>
      </w:r>
      <w:r w:rsidRPr="007F38D4">
        <w:rPr>
          <w:bCs/>
          <w:sz w:val="30"/>
          <w:szCs w:val="30"/>
          <w:lang w:val="be-BY" w:eastAsia="en-US"/>
        </w:rPr>
        <w:t>5</w:t>
      </w:r>
      <w:r w:rsidRPr="007F38D4">
        <w:rPr>
          <w:bCs/>
          <w:sz w:val="30"/>
          <w:szCs w:val="30"/>
          <w:lang w:eastAsia="en-US"/>
        </w:rPr>
        <w:t xml:space="preserve"> году </w:t>
      </w:r>
      <w:r w:rsidRPr="007F38D4">
        <w:rPr>
          <w:bCs/>
          <w:sz w:val="30"/>
          <w:szCs w:val="30"/>
          <w:lang w:eastAsia="en-US"/>
        </w:rPr>
        <w:lastRenderedPageBreak/>
        <w:t xml:space="preserve">необходимо произвести замену </w:t>
      </w:r>
      <w:r w:rsidRPr="007F38D4">
        <w:rPr>
          <w:bCs/>
          <w:sz w:val="30"/>
          <w:szCs w:val="30"/>
          <w:lang w:val="be-BY" w:eastAsia="en-US"/>
        </w:rPr>
        <w:t>7</w:t>
      </w:r>
      <w:r>
        <w:rPr>
          <w:bCs/>
          <w:sz w:val="30"/>
          <w:szCs w:val="30"/>
          <w:lang w:val="be-BY" w:eastAsia="en-US"/>
        </w:rPr>
        <w:t>0</w:t>
      </w:r>
      <w:r w:rsidRPr="007F38D4">
        <w:rPr>
          <w:bCs/>
          <w:sz w:val="30"/>
          <w:szCs w:val="30"/>
          <w:lang w:eastAsia="en-US"/>
        </w:rPr>
        <w:t xml:space="preserve"> лифт</w:t>
      </w:r>
      <w:r>
        <w:rPr>
          <w:bCs/>
          <w:sz w:val="30"/>
          <w:szCs w:val="30"/>
          <w:lang w:val="be-BY" w:eastAsia="en-US"/>
        </w:rPr>
        <w:t>ов</w:t>
      </w:r>
      <w:r w:rsidRPr="007F38D4">
        <w:rPr>
          <w:bCs/>
          <w:sz w:val="30"/>
          <w:szCs w:val="30"/>
          <w:lang w:eastAsia="en-US"/>
        </w:rPr>
        <w:t xml:space="preserve">, в том числе </w:t>
      </w:r>
      <w:r>
        <w:rPr>
          <w:bCs/>
          <w:sz w:val="30"/>
          <w:szCs w:val="30"/>
          <w:lang w:eastAsia="en-US"/>
        </w:rPr>
        <w:t>43</w:t>
      </w:r>
      <w:r w:rsidRPr="007F38D4">
        <w:rPr>
          <w:bCs/>
          <w:sz w:val="30"/>
          <w:szCs w:val="30"/>
          <w:lang w:eastAsia="en-US"/>
        </w:rPr>
        <w:t xml:space="preserve"> в домах товариществ собственников и организаций застройщиков</w:t>
      </w:r>
      <w:r w:rsidRPr="00B1266E">
        <w:rPr>
          <w:sz w:val="30"/>
          <w:szCs w:val="30"/>
          <w:lang w:eastAsia="en-US"/>
        </w:rPr>
        <w:t>.</w:t>
      </w:r>
    </w:p>
    <w:p w14:paraId="0733BBC8" w14:textId="77777777" w:rsidR="00357BF0" w:rsidRPr="00220DAC" w:rsidRDefault="00357BF0" w:rsidP="00357BF0">
      <w:pPr>
        <w:spacing w:line="100" w:lineRule="atLeast"/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 xml:space="preserve">Подпрограмма 5 «Чистая вода». </w:t>
      </w:r>
    </w:p>
    <w:p w14:paraId="66B799A2" w14:textId="77777777" w:rsidR="00357BF0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>
        <w:rPr>
          <w:rFonts w:eastAsia="DejaVu LGC Sans"/>
          <w:color w:val="000000"/>
          <w:kern w:val="1"/>
          <w:sz w:val="30"/>
          <w:szCs w:val="30"/>
          <w:lang w:eastAsia="en-US"/>
        </w:rPr>
        <w:t>В 2024 году выполнено строительство 24 станций обезжелезивания, 2 очистных сооружений, 1 артезианской скважины.</w:t>
      </w:r>
    </w:p>
    <w:p w14:paraId="2C8DBB9D" w14:textId="77777777" w:rsidR="00357BF0" w:rsidRPr="006E748B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Для обеспечения населения централизованными системами водоснабжения и водоотведения (канализации) в 2024 году выполнено строительство 1,7 км водопроводных и 23,203 км канализационных сетей. </w:t>
      </w:r>
    </w:p>
    <w:p w14:paraId="54632EC1" w14:textId="77777777" w:rsidR="00357BF0" w:rsidRPr="006E748B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По состоянию на 1 января 2025 г. обеспеченность населения централизованными системами водоснабжения составила 92,3 %                       (при плане 92,3 %), водоотведения – 74,7 % (при плане 74,7 %). </w:t>
      </w:r>
    </w:p>
    <w:p w14:paraId="7C058F35" w14:textId="77777777" w:rsidR="00357BF0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>В рамках выполнения задания по замене сетей водоснабжения и водоотведения (канализации) со сверхнормативными сроками эксплуатации (не менее 3 %) за 2024 год выполнена перекладка 36,672 км сетей водоснабжения (118 % от плана) и 17,861 км сетей водоотведения</w:t>
      </w:r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    </w:t>
      </w:r>
      <w:r w:rsidRPr="006E748B">
        <w:rPr>
          <w:rFonts w:eastAsia="DejaVu LGC Sans"/>
          <w:color w:val="000000"/>
          <w:kern w:val="1"/>
          <w:sz w:val="30"/>
          <w:szCs w:val="30"/>
          <w:lang w:eastAsia="en-US"/>
        </w:rPr>
        <w:t>(106 %).</w:t>
      </w:r>
    </w:p>
    <w:p w14:paraId="7C53D013" w14:textId="77777777" w:rsidR="00357BF0" w:rsidRPr="00A267A2" w:rsidRDefault="00357BF0" w:rsidP="00357BF0">
      <w:pPr>
        <w:ind w:firstLine="708"/>
        <w:jc w:val="both"/>
        <w:rPr>
          <w:sz w:val="30"/>
          <w:szCs w:val="30"/>
        </w:rPr>
      </w:pPr>
      <w:r w:rsidRPr="00A267A2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A267A2">
        <w:rPr>
          <w:sz w:val="30"/>
          <w:szCs w:val="30"/>
        </w:rPr>
        <w:t xml:space="preserve"> году предстоит выполнить </w:t>
      </w:r>
      <w:r>
        <w:rPr>
          <w:sz w:val="30"/>
          <w:szCs w:val="30"/>
        </w:rPr>
        <w:t>замену около</w:t>
      </w:r>
      <w:r w:rsidRPr="00A267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30,19 </w:t>
      </w:r>
      <w:r w:rsidRPr="00A267A2">
        <w:rPr>
          <w:sz w:val="30"/>
          <w:szCs w:val="30"/>
        </w:rPr>
        <w:t>км сетей</w:t>
      </w:r>
      <w:r>
        <w:rPr>
          <w:sz w:val="30"/>
          <w:szCs w:val="30"/>
        </w:rPr>
        <w:t xml:space="preserve"> водоснабжения</w:t>
      </w:r>
      <w:r w:rsidRPr="00A267A2">
        <w:rPr>
          <w:sz w:val="30"/>
          <w:szCs w:val="30"/>
        </w:rPr>
        <w:t xml:space="preserve"> </w:t>
      </w:r>
      <w:r>
        <w:rPr>
          <w:sz w:val="30"/>
          <w:szCs w:val="30"/>
        </w:rPr>
        <w:t>и 16,84 км сетей водоотведения.</w:t>
      </w:r>
    </w:p>
    <w:p w14:paraId="3662516E" w14:textId="77777777" w:rsidR="00357BF0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color w:val="000000"/>
          <w:kern w:val="1"/>
          <w:sz w:val="30"/>
          <w:szCs w:val="30"/>
          <w:lang w:eastAsia="en-US"/>
        </w:rPr>
      </w:pPr>
      <w:r w:rsidRPr="007622B0">
        <w:rPr>
          <w:rFonts w:eastAsia="DejaVu LGC Sans"/>
          <w:color w:val="000000"/>
          <w:kern w:val="1"/>
          <w:sz w:val="30"/>
          <w:szCs w:val="30"/>
          <w:lang w:eastAsia="en-US"/>
        </w:rPr>
        <w:t>Для выполнения задани</w:t>
      </w:r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я </w:t>
      </w:r>
      <w:r w:rsidRPr="007622B0"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по обеспечению потребителей качественной питьевой водой на 2025 </w:t>
      </w:r>
      <w:r>
        <w:rPr>
          <w:rFonts w:eastAsia="DejaVu LGC Sans"/>
          <w:color w:val="000000"/>
          <w:kern w:val="1"/>
          <w:sz w:val="30"/>
          <w:szCs w:val="30"/>
          <w:lang w:eastAsia="en-US"/>
        </w:rPr>
        <w:t xml:space="preserve">год </w:t>
      </w:r>
      <w:r w:rsidRPr="007622B0">
        <w:rPr>
          <w:rFonts w:eastAsia="DejaVu LGC Sans"/>
          <w:color w:val="000000"/>
          <w:kern w:val="1"/>
          <w:sz w:val="30"/>
          <w:szCs w:val="30"/>
          <w:lang w:eastAsia="en-US"/>
        </w:rPr>
        <w:t>запланировано строительство 44 станций обезжелезивания.</w:t>
      </w:r>
    </w:p>
    <w:p w14:paraId="74DAAB6B" w14:textId="77777777" w:rsidR="00357BF0" w:rsidRPr="00BE2904" w:rsidRDefault="00357BF0" w:rsidP="00357BF0">
      <w:pPr>
        <w:tabs>
          <w:tab w:val="left" w:pos="1870"/>
        </w:tabs>
        <w:ind w:firstLine="708"/>
        <w:jc w:val="both"/>
        <w:rPr>
          <w:rFonts w:eastAsia="DejaVu LGC Sans"/>
          <w:bCs/>
          <w:color w:val="000000"/>
          <w:kern w:val="1"/>
          <w:sz w:val="30"/>
          <w:szCs w:val="30"/>
          <w:lang w:eastAsia="en-US"/>
        </w:rPr>
      </w:pPr>
      <w:r w:rsidRPr="00BE2904">
        <w:rPr>
          <w:rFonts w:eastAsia="DejaVu LGC Sans"/>
          <w:bCs/>
          <w:color w:val="000000"/>
          <w:kern w:val="1"/>
          <w:sz w:val="30"/>
          <w:szCs w:val="30"/>
          <w:lang w:eastAsia="en-US"/>
        </w:rPr>
        <w:t>Потери и неучтенные расходы воды за 2024 год составили 11,8 %, при задании 11,9 %</w:t>
      </w:r>
      <w:r>
        <w:rPr>
          <w:rFonts w:eastAsia="DejaVu LGC Sans"/>
          <w:bCs/>
          <w:color w:val="000000"/>
          <w:kern w:val="1"/>
          <w:sz w:val="30"/>
          <w:szCs w:val="30"/>
          <w:lang w:eastAsia="en-US"/>
        </w:rPr>
        <w:t xml:space="preserve">, план </w:t>
      </w:r>
      <w:r w:rsidRPr="00A16CFA">
        <w:rPr>
          <w:rFonts w:eastAsia="DejaVu LGC Sans"/>
          <w:bCs/>
          <w:color w:val="000000"/>
          <w:kern w:val="1"/>
          <w:sz w:val="30"/>
          <w:szCs w:val="30"/>
          <w:lang w:eastAsia="en-US"/>
        </w:rPr>
        <w:t>на 2025 год - 11,9 %.</w:t>
      </w:r>
    </w:p>
    <w:p w14:paraId="03EF2C80" w14:textId="77777777" w:rsidR="00357BF0" w:rsidRDefault="00357BF0" w:rsidP="00357BF0">
      <w:pPr>
        <w:spacing w:line="100" w:lineRule="atLeast"/>
        <w:ind w:firstLine="709"/>
        <w:jc w:val="both"/>
        <w:rPr>
          <w:rFonts w:eastAsia="Times New Roman"/>
          <w:b/>
          <w:sz w:val="30"/>
          <w:szCs w:val="30"/>
        </w:rPr>
      </w:pPr>
      <w:r w:rsidRPr="00220DAC">
        <w:rPr>
          <w:rFonts w:eastAsia="Times New Roman"/>
          <w:b/>
          <w:sz w:val="30"/>
          <w:szCs w:val="30"/>
        </w:rPr>
        <w:t>Подпрограмма 6 «Цель 99».</w:t>
      </w:r>
    </w:p>
    <w:p w14:paraId="098ACB19" w14:textId="77777777" w:rsidR="00357BF0" w:rsidRDefault="00357BF0" w:rsidP="00357B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50C5D">
        <w:rPr>
          <w:rFonts w:ascii="Times New Roman" w:hAnsi="Times New Roman"/>
          <w:sz w:val="30"/>
          <w:szCs w:val="30"/>
        </w:rPr>
        <w:t>В 2024 году в целом по области заготовлено 112,5 тыс. тонн вторичных материальных ресурсов</w:t>
      </w:r>
      <w:r w:rsidRPr="00350C5D">
        <w:rPr>
          <w:rFonts w:ascii="Times New Roman" w:eastAsia="DejaVu LGC Sans" w:hAnsi="Times New Roman"/>
          <w:color w:val="000000"/>
          <w:kern w:val="1"/>
          <w:sz w:val="30"/>
          <w:szCs w:val="30"/>
        </w:rPr>
        <w:t xml:space="preserve"> (далее – ВМР) или 102,</w:t>
      </w:r>
      <w:r>
        <w:rPr>
          <w:rFonts w:ascii="Times New Roman" w:eastAsia="DejaVu LGC Sans" w:hAnsi="Times New Roman"/>
          <w:color w:val="000000"/>
          <w:kern w:val="1"/>
          <w:sz w:val="30"/>
          <w:szCs w:val="30"/>
        </w:rPr>
        <w:t>3</w:t>
      </w:r>
      <w:r w:rsidRPr="00350C5D">
        <w:rPr>
          <w:rFonts w:ascii="Times New Roman" w:eastAsia="DejaVu LGC Sans" w:hAnsi="Times New Roman"/>
          <w:color w:val="000000"/>
          <w:kern w:val="1"/>
          <w:sz w:val="30"/>
          <w:szCs w:val="30"/>
        </w:rPr>
        <w:t xml:space="preserve"> % от установленного годового задания</w:t>
      </w:r>
      <w:r>
        <w:rPr>
          <w:rFonts w:ascii="Times New Roman" w:eastAsia="DejaVu LGC Sans" w:hAnsi="Times New Roman"/>
          <w:color w:val="000000"/>
          <w:kern w:val="1"/>
          <w:sz w:val="30"/>
          <w:szCs w:val="30"/>
        </w:rPr>
        <w:t xml:space="preserve">, </w:t>
      </w:r>
      <w:r w:rsidRPr="00D25321">
        <w:rPr>
          <w:rFonts w:ascii="Times New Roman" w:hAnsi="Times New Roman"/>
          <w:sz w:val="30"/>
          <w:szCs w:val="30"/>
        </w:rPr>
        <w:t xml:space="preserve">уровень использования ТКО достиг </w:t>
      </w:r>
      <w:r>
        <w:rPr>
          <w:rFonts w:ascii="Times New Roman" w:hAnsi="Times New Roman"/>
          <w:sz w:val="30"/>
          <w:szCs w:val="30"/>
        </w:rPr>
        <w:t xml:space="preserve">                    </w:t>
      </w:r>
      <w:r w:rsidRPr="00D25321">
        <w:rPr>
          <w:rFonts w:ascii="Times New Roman" w:hAnsi="Times New Roman"/>
          <w:sz w:val="30"/>
          <w:szCs w:val="30"/>
        </w:rPr>
        <w:t xml:space="preserve">48,0 %, при плане 40 %. </w:t>
      </w:r>
    </w:p>
    <w:p w14:paraId="2C9E3215" w14:textId="77777777" w:rsidR="00357BF0" w:rsidRPr="00D25321" w:rsidRDefault="00357BF0" w:rsidP="00357BF0">
      <w:pPr>
        <w:pStyle w:val="a3"/>
        <w:spacing w:after="0" w:line="240" w:lineRule="auto"/>
        <w:ind w:left="0" w:firstLine="709"/>
        <w:jc w:val="both"/>
        <w:rPr>
          <w:rFonts w:ascii="Times New Roman" w:eastAsia="DejaVu LGC Sans" w:hAnsi="Times New Roman"/>
          <w:color w:val="000000"/>
          <w:kern w:val="1"/>
          <w:sz w:val="30"/>
          <w:szCs w:val="30"/>
        </w:rPr>
      </w:pPr>
      <w:r w:rsidRPr="00D25321">
        <w:rPr>
          <w:rFonts w:ascii="Times New Roman" w:hAnsi="Times New Roman"/>
          <w:sz w:val="30"/>
          <w:szCs w:val="30"/>
        </w:rPr>
        <w:t xml:space="preserve">В 2025 году области </w:t>
      </w:r>
      <w:r>
        <w:rPr>
          <w:rFonts w:ascii="Times New Roman" w:hAnsi="Times New Roman"/>
          <w:sz w:val="30"/>
          <w:szCs w:val="30"/>
        </w:rPr>
        <w:t xml:space="preserve">необходимо обеспечить сбор 135 тыс. тонн ВМР и </w:t>
      </w:r>
      <w:r w:rsidRPr="00D25321">
        <w:rPr>
          <w:rFonts w:ascii="Times New Roman" w:hAnsi="Times New Roman"/>
          <w:sz w:val="30"/>
          <w:szCs w:val="30"/>
        </w:rPr>
        <w:t>достигнуть уров</w:t>
      </w:r>
      <w:r>
        <w:rPr>
          <w:rFonts w:ascii="Times New Roman" w:hAnsi="Times New Roman"/>
          <w:sz w:val="30"/>
          <w:szCs w:val="30"/>
        </w:rPr>
        <w:t xml:space="preserve">ня использования ТКО </w:t>
      </w:r>
      <w:r w:rsidRPr="00D25321">
        <w:rPr>
          <w:rFonts w:ascii="Times New Roman" w:hAnsi="Times New Roman"/>
          <w:sz w:val="30"/>
          <w:szCs w:val="30"/>
        </w:rPr>
        <w:t>до 65 %.</w:t>
      </w:r>
    </w:p>
    <w:p w14:paraId="4BF42BB7" w14:textId="77777777" w:rsidR="00357BF0" w:rsidRDefault="00357BF0" w:rsidP="00357BF0">
      <w:pPr>
        <w:ind w:firstLine="708"/>
        <w:jc w:val="both"/>
        <w:rPr>
          <w:sz w:val="30"/>
          <w:szCs w:val="30"/>
        </w:rPr>
      </w:pPr>
      <w:r w:rsidRPr="007A7FF0">
        <w:rPr>
          <w:rFonts w:eastAsia="DejaVu LGC Sans"/>
          <w:kern w:val="2"/>
          <w:sz w:val="30"/>
          <w:szCs w:val="30"/>
          <w:lang w:eastAsia="en-US"/>
        </w:rPr>
        <w:t xml:space="preserve">С учетом объявленного Главой государства 2025 года – Годом благоустройства, а также старта пятилетки качества </w:t>
      </w:r>
      <w:r>
        <w:rPr>
          <w:rFonts w:eastAsia="DejaVu LGC Sans"/>
          <w:kern w:val="2"/>
          <w:sz w:val="30"/>
          <w:szCs w:val="30"/>
          <w:lang w:eastAsia="en-US"/>
        </w:rPr>
        <w:t xml:space="preserve">работа системы ЖКХ области направлена на </w:t>
      </w:r>
      <w:r w:rsidRPr="007A7FF0">
        <w:rPr>
          <w:rFonts w:eastAsia="DejaVu LGC Sans"/>
          <w:kern w:val="2"/>
          <w:sz w:val="30"/>
          <w:szCs w:val="30"/>
          <w:lang w:eastAsia="en-US"/>
        </w:rPr>
        <w:t>выполнени</w:t>
      </w:r>
      <w:r>
        <w:rPr>
          <w:rFonts w:eastAsia="DejaVu LGC Sans"/>
          <w:kern w:val="2"/>
          <w:sz w:val="30"/>
          <w:szCs w:val="30"/>
          <w:lang w:eastAsia="en-US"/>
        </w:rPr>
        <w:t>е</w:t>
      </w:r>
      <w:r w:rsidRPr="007A7FF0">
        <w:rPr>
          <w:rFonts w:eastAsia="DejaVu LGC Sans"/>
          <w:kern w:val="2"/>
          <w:sz w:val="30"/>
          <w:szCs w:val="30"/>
          <w:lang w:eastAsia="en-US"/>
        </w:rPr>
        <w:t xml:space="preserve"> </w:t>
      </w:r>
      <w:r>
        <w:rPr>
          <w:rFonts w:eastAsia="DejaVu LGC Sans"/>
          <w:kern w:val="2"/>
          <w:sz w:val="30"/>
          <w:szCs w:val="30"/>
          <w:lang w:eastAsia="en-US"/>
        </w:rPr>
        <w:t xml:space="preserve">утвержденного </w:t>
      </w:r>
      <w:r w:rsidRPr="00CC3048">
        <w:rPr>
          <w:rFonts w:eastAsia="DejaVu LGC Sans"/>
          <w:kern w:val="2"/>
          <w:sz w:val="30"/>
          <w:szCs w:val="30"/>
          <w:lang w:eastAsia="en-US"/>
        </w:rPr>
        <w:t>План</w:t>
      </w:r>
      <w:r>
        <w:rPr>
          <w:rFonts w:eastAsia="DejaVu LGC Sans"/>
          <w:kern w:val="2"/>
          <w:sz w:val="30"/>
          <w:szCs w:val="30"/>
          <w:lang w:eastAsia="en-US"/>
        </w:rPr>
        <w:t>а</w:t>
      </w:r>
      <w:r w:rsidRPr="00CC3048">
        <w:rPr>
          <w:rFonts w:eastAsia="DejaVu LGC Sans"/>
          <w:kern w:val="2"/>
          <w:sz w:val="30"/>
          <w:szCs w:val="30"/>
          <w:lang w:eastAsia="en-US"/>
        </w:rPr>
        <w:t xml:space="preserve"> мероприятий Брестской области, связанных с проведением в 2025 году Года благоустройства</w:t>
      </w:r>
      <w:r>
        <w:rPr>
          <w:rFonts w:eastAsia="DejaVu LGC Sans"/>
          <w:kern w:val="2"/>
          <w:sz w:val="30"/>
          <w:szCs w:val="30"/>
          <w:lang w:eastAsia="en-US"/>
        </w:rPr>
        <w:t>.</w:t>
      </w:r>
    </w:p>
    <w:p w14:paraId="713DEE62" w14:textId="77777777" w:rsidR="00357BF0" w:rsidRPr="007A7FF0" w:rsidRDefault="00357BF0" w:rsidP="00357BF0">
      <w:pPr>
        <w:jc w:val="both"/>
        <w:rPr>
          <w:sz w:val="30"/>
          <w:szCs w:val="30"/>
        </w:rPr>
      </w:pPr>
      <w:r w:rsidRPr="001F122C">
        <w:rPr>
          <w:rFonts w:eastAsia="DejaVu LGC Sans"/>
          <w:kern w:val="2"/>
          <w:sz w:val="30"/>
          <w:szCs w:val="30"/>
          <w:lang w:eastAsia="en-US"/>
        </w:rPr>
        <w:t xml:space="preserve">           О</w:t>
      </w:r>
      <w:r w:rsidRPr="001F122C">
        <w:rPr>
          <w:sz w:val="30"/>
          <w:szCs w:val="30"/>
        </w:rPr>
        <w:t>сновны</w:t>
      </w:r>
      <w:r>
        <w:rPr>
          <w:sz w:val="30"/>
          <w:szCs w:val="30"/>
        </w:rPr>
        <w:t>е</w:t>
      </w:r>
      <w:r w:rsidRPr="007A7FF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приоритетные задачи отрасли ЖКХ в 2025 году: </w:t>
      </w:r>
      <w:r w:rsidRPr="007A7FF0">
        <w:rPr>
          <w:sz w:val="30"/>
          <w:szCs w:val="30"/>
        </w:rPr>
        <w:t>безусловно</w:t>
      </w:r>
      <w:r>
        <w:rPr>
          <w:sz w:val="30"/>
          <w:szCs w:val="30"/>
        </w:rPr>
        <w:t>е</w:t>
      </w:r>
      <w:r w:rsidRPr="007A7FF0">
        <w:rPr>
          <w:sz w:val="30"/>
          <w:szCs w:val="30"/>
        </w:rPr>
        <w:t xml:space="preserve"> выполнени</w:t>
      </w:r>
      <w:r>
        <w:rPr>
          <w:sz w:val="30"/>
          <w:szCs w:val="30"/>
        </w:rPr>
        <w:t>е</w:t>
      </w:r>
      <w:r w:rsidRPr="007A7FF0">
        <w:rPr>
          <w:sz w:val="30"/>
          <w:szCs w:val="30"/>
        </w:rPr>
        <w:t xml:space="preserve"> показателей Государственной программы</w:t>
      </w:r>
      <w:r>
        <w:rPr>
          <w:sz w:val="30"/>
          <w:szCs w:val="30"/>
        </w:rPr>
        <w:t xml:space="preserve"> и реализация мероприятий Директивы № 7.</w:t>
      </w:r>
    </w:p>
    <w:p w14:paraId="5DD2A25C" w14:textId="77777777" w:rsidR="00B23CB1" w:rsidRDefault="00B23CB1"/>
    <w:sectPr w:rsidR="00B2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LGC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357BF0"/>
    <w:rsid w:val="00AA75DE"/>
    <w:rsid w:val="00B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Ирина П. Захаревич</cp:lastModifiedBy>
  <cp:revision>2</cp:revision>
  <dcterms:created xsi:type="dcterms:W3CDTF">2025-04-15T09:50:00Z</dcterms:created>
  <dcterms:modified xsi:type="dcterms:W3CDTF">2025-04-15T09:51:00Z</dcterms:modified>
</cp:coreProperties>
</file>